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 w:cs="Times New Roman"/>
          <w:u w:val="none"/>
        </w:rPr>
      </w:pPr>
      <w:r>
        <w:rPr>
          <w:rFonts w:hint="eastAsia" w:ascii="黑体" w:eastAsia="黑体" w:cs="黑体"/>
          <w:u w:val="none"/>
        </w:rPr>
        <w:t>附件</w:t>
      </w:r>
      <w:r>
        <w:rPr>
          <w:rFonts w:ascii="黑体" w:eastAsia="黑体" w:cs="黑体"/>
          <w:u w:val="none"/>
        </w:rPr>
        <w:t>2</w:t>
      </w:r>
      <w:r>
        <w:rPr>
          <w:rFonts w:hint="eastAsia" w:ascii="黑体" w:eastAsia="黑体" w:cs="黑体"/>
          <w:u w:val="none"/>
        </w:rPr>
        <w:t>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</w:rPr>
        <w:t>凌源市秸秆禁烧工作考核评分表</w:t>
      </w:r>
    </w:p>
    <w:p>
      <w:pPr>
        <w:spacing w:line="500" w:lineRule="exact"/>
        <w:jc w:val="center"/>
        <w:rPr>
          <w:rFonts w:cs="Times New Roman"/>
          <w:u w:val="none"/>
        </w:rPr>
      </w:pPr>
    </w:p>
    <w:tbl>
      <w:tblPr>
        <w:tblStyle w:val="2"/>
        <w:tblW w:w="95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036"/>
        <w:gridCol w:w="2352"/>
        <w:gridCol w:w="719"/>
        <w:gridCol w:w="3274"/>
        <w:gridCol w:w="696"/>
        <w:gridCol w:w="7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jc w:val="center"/>
        </w:trPr>
        <w:tc>
          <w:tcPr>
            <w:tcW w:w="7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序号</w:t>
            </w:r>
          </w:p>
        </w:tc>
        <w:tc>
          <w:tcPr>
            <w:tcW w:w="33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考核项目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分值</w:t>
            </w:r>
          </w:p>
        </w:tc>
        <w:tc>
          <w:tcPr>
            <w:tcW w:w="3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评分标准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得分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</w:t>
            </w:r>
          </w:p>
        </w:tc>
        <w:tc>
          <w:tcPr>
            <w:tcW w:w="103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组织</w:t>
            </w:r>
          </w:p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领导</w:t>
            </w:r>
          </w:p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（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分）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成立禁烧工作领导机构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未成立秸秆禁烧与综合利用工作领导小组，未及时协调、调度、安排和落实并有效开展工作的，扣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2</w:t>
            </w:r>
          </w:p>
        </w:tc>
        <w:tc>
          <w:tcPr>
            <w:tcW w:w="103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制定秸秆禁烧与综合利用工作计划方案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10</w:t>
            </w:r>
          </w:p>
        </w:tc>
        <w:tc>
          <w:tcPr>
            <w:tcW w:w="3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未制定秸秆禁烧与综合利用工作计划方案，扣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718" w:type="dxa"/>
            <w:vMerge w:val="restart"/>
            <w:tcBorders>
              <w:top w:val="singl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3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0" w:space="0"/>
              <w:bottom w:val="in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责任</w:t>
            </w:r>
          </w:p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落实</w:t>
            </w:r>
          </w:p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（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30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分）</w:t>
            </w:r>
          </w:p>
        </w:tc>
        <w:tc>
          <w:tcPr>
            <w:tcW w:w="2352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乡镇街与村（社区）签订秸秆禁烧工作目标管理责任状，纳入村（社区）年度目标管理考评内容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15</w:t>
            </w:r>
          </w:p>
        </w:tc>
        <w:tc>
          <w:tcPr>
            <w:tcW w:w="3274" w:type="dxa"/>
            <w:tcBorders>
              <w:top w:val="single" w:color="auto" w:sz="0" w:space="0"/>
              <w:left w:val="trip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每少签订一个村（社区）责任状的，扣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分（分数扣完为止）</w:t>
            </w:r>
          </w:p>
        </w:tc>
        <w:tc>
          <w:tcPr>
            <w:tcW w:w="696" w:type="dxa"/>
            <w:vMerge w:val="restart"/>
            <w:tcBorders>
              <w:top w:val="single" w:color="auto" w:sz="0" w:space="0"/>
              <w:left w:val="trip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718" w:type="dxa"/>
            <w:vMerge w:val="continue"/>
            <w:tcBorders>
              <w:top w:val="singl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0" w:space="0"/>
              <w:bottom w:val="in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3274" w:type="dxa"/>
            <w:tcBorders>
              <w:top w:val="single" w:color="auto" w:sz="4" w:space="0"/>
              <w:left w:val="trip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未纳入目标管理考评的，扣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15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分。</w:t>
            </w:r>
          </w:p>
        </w:tc>
        <w:tc>
          <w:tcPr>
            <w:tcW w:w="696" w:type="dxa"/>
            <w:vMerge w:val="continue"/>
            <w:tcBorders>
              <w:top w:val="single" w:color="auto" w:sz="0" w:space="0"/>
              <w:left w:val="triple" w:color="auto" w:sz="0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4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0" w:space="0"/>
              <w:bottom w:val="inset" w:color="auto" w:sz="6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建立乡镇街领导、机关干部包村、包组、包片责任制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15</w:t>
            </w:r>
          </w:p>
        </w:tc>
        <w:tc>
          <w:tcPr>
            <w:tcW w:w="3274" w:type="dxa"/>
            <w:tcBorders>
              <w:top w:val="single" w:color="auto" w:sz="4" w:space="0"/>
              <w:left w:val="trip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未制定包村、包组、包片责任制的，扣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15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分。</w:t>
            </w:r>
          </w:p>
        </w:tc>
        <w:tc>
          <w:tcPr>
            <w:tcW w:w="696" w:type="dxa"/>
            <w:tcBorders>
              <w:top w:val="single" w:color="auto" w:sz="4" w:space="0"/>
              <w:left w:val="trip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5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禁烧</w:t>
            </w:r>
          </w:p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效果</w:t>
            </w:r>
          </w:p>
          <w:p>
            <w:pPr>
              <w:spacing w:line="320" w:lineRule="exact"/>
              <w:ind w:left="-81" w:leftChars="-73" w:hanging="153" w:hangingChars="64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（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50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分）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国家环保部、省卫星火点数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50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按环保部网站及在检查中发现一起秸秆焚烧火点数，每一起扣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分（分数扣完为止）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6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连片焚烧（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20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亩以上）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32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查实一起扣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10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分（分数扣完为止）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7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7</w:t>
            </w: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23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市检查组检查发现火点</w:t>
            </w:r>
          </w:p>
        </w:tc>
        <w:tc>
          <w:tcPr>
            <w:tcW w:w="71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Times New Roman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327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发现一起扣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u w:val="none"/>
              </w:rPr>
              <w:t>5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u w:val="none"/>
              </w:rPr>
              <w:t>分（分数扣完为止）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cs="Times New Roman"/>
                <w:sz w:val="24"/>
                <w:szCs w:val="24"/>
                <w:u w:val="none"/>
              </w:rPr>
            </w:pPr>
          </w:p>
        </w:tc>
      </w:tr>
    </w:tbl>
    <w:p>
      <w:pPr>
        <w:spacing w:line="580" w:lineRule="exact"/>
        <w:rPr>
          <w:rFonts w:cs="Times New Roman"/>
          <w:sz w:val="24"/>
          <w:szCs w:val="24"/>
          <w:u w:val="none"/>
        </w:rPr>
      </w:pPr>
      <w:r>
        <w:rPr>
          <w:rFonts w:hint="eastAsia" w:ascii="Times New Roman" w:hAnsi="Times New Roman" w:eastAsia="宋体" w:cs="宋体"/>
          <w:kern w:val="2"/>
          <w:sz w:val="24"/>
          <w:szCs w:val="24"/>
          <w:u w:val="none"/>
        </w:rPr>
        <w:t>备注：考核实行减分制。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A51FC"/>
    <w:rsid w:val="2F4A51FC"/>
    <w:rsid w:val="53841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tabs>
        <w:tab w:val="left" w:pos="1530"/>
      </w:tabs>
      <w:jc w:val="both"/>
    </w:pPr>
    <w:rPr>
      <w:rFonts w:ascii="仿宋_GB2312" w:hAnsi="宋体" w:eastAsia="仿宋_GB2312" w:cs="仿宋_GB2312"/>
      <w:sz w:val="32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2020-04-13T01:16:00Z</dcterms:created>
  <dc:creator>Administrator</dc:creator>
  <cp:lastModifiedBy>Administrator</cp:lastModifiedBy>
  <dcterms:modified xsi:type="dcterms:W3CDTF">2020-04-13T01:17:46Z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